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HR Policy Handbook</w:t>
      </w:r>
    </w:p>
    <w:p>
      <w:pPr>
        <w:pStyle w:val="Heading1"/>
      </w:pPr>
      <w:r>
        <w:t>1. Employee Code of Conduct</w:t>
      </w:r>
    </w:p>
    <w:p>
      <w:r>
        <w:t>All employees are expected to maintain a high level of professionalism and integrity. Employees must treat their colleagues, supervisors, and clients with respect and fairness. Violations of this code may result in disciplinary actions.</w:t>
      </w:r>
    </w:p>
    <w:p>
      <w:pPr>
        <w:pStyle w:val="Heading1"/>
      </w:pPr>
      <w:r>
        <w:t>2. Leave Policy</w:t>
      </w:r>
    </w:p>
    <w:p>
      <w:r>
        <w:t>Employees are entitled to 14 days of paid vacation annually. Sick leave is also available based on medical certifications. Other types of leave include maternity/paternity leave and emergency leave.</w:t>
      </w:r>
    </w:p>
    <w:p>
      <w:pPr>
        <w:pStyle w:val="Heading1"/>
      </w:pPr>
      <w:r>
        <w:t>3. Salary and Benefits</w:t>
      </w:r>
    </w:p>
    <w:p>
      <w:r>
        <w:t>Salaries are paid on a monthly basis. In addition to the salary, employees are eligible for health insurance, retirement savings plans, and other benefits as outlined in the employee handbook.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